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3949"/>
        <w:tblW w:w="12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5675"/>
      </w:tblGrid>
      <w:tr w:rsidR="002348BD" w:rsidRPr="00C058B1" w:rsidTr="002348BD">
        <w:trPr>
          <w:trHeight w:val="2316"/>
        </w:trPr>
        <w:tc>
          <w:tcPr>
            <w:tcW w:w="6380" w:type="dxa"/>
          </w:tcPr>
          <w:p w:rsidR="002348BD" w:rsidRDefault="002348BD" w:rsidP="002348B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          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lang w:val="fr-FR"/>
              </w:rPr>
              <w:t xml:space="preserve">           </w:t>
            </w:r>
            <w:r w:rsidRPr="0085336E">
              <w:rPr>
                <w:b/>
                <w:sz w:val="16"/>
                <w:szCs w:val="16"/>
                <w:lang w:val="fr-FR"/>
              </w:rPr>
              <w:t>REPUBLIQUE DU CAMEROUN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       PAIX-TRAVAIL-PATRIE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9F420" wp14:editId="7DF734EE">
                      <wp:simplePos x="0" y="0"/>
                      <wp:positionH relativeFrom="column">
                        <wp:posOffset>2592054</wp:posOffset>
                      </wp:positionH>
                      <wp:positionV relativeFrom="paragraph">
                        <wp:posOffset>27430</wp:posOffset>
                      </wp:positionV>
                      <wp:extent cx="1531480" cy="807412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480" cy="807412"/>
                              </a:xfrm>
                              <a:prstGeom prst="rect">
                                <a:avLst/>
                              </a:prstGeom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BD" w:rsidRDefault="002348BD" w:rsidP="002348B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41D6B14F" wp14:editId="645D0CD2">
                                        <wp:extent cx="1177290" cy="672465"/>
                                        <wp:effectExtent l="0" t="0" r="3810" b="0"/>
                                        <wp:docPr id="5" name="Image 2" descr="LOGO EBWA1ER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 2" descr="LOGO EBWA1ER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7290" cy="672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9F420" id="Rectangle 2" o:spid="_x0000_s1026" style="position:absolute;margin-left:204.1pt;margin-top:2.15pt;width:120.6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" fillcolor="white [3201]" stroked="f" strokeweight=".25pt">
                      <v:textbox>
                        <w:txbxContent>
                          <w:p w:rsidR="002348BD" w:rsidRDefault="002348BD" w:rsidP="002348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1D6B14F" wp14:editId="645D0CD2">
                                  <wp:extent cx="1177290" cy="672465"/>
                                  <wp:effectExtent l="0" t="0" r="3810" b="0"/>
                                  <wp:docPr id="5" name="Image 2" descr="LOGO EBWA1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2" descr="LOGO EBWA1ER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290" cy="672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336E">
              <w:rPr>
                <w:b/>
                <w:sz w:val="16"/>
                <w:szCs w:val="16"/>
                <w:lang w:val="fr-FR"/>
              </w:rPr>
              <w:t xml:space="preserve">                                      ******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MINISTERE DE LA DECENTRALISATION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ET DU DEVELOPPEMENT LOCAL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</w:t>
            </w:r>
            <w:r w:rsidRPr="0085336E">
              <w:rPr>
                <w:b/>
                <w:sz w:val="16"/>
                <w:szCs w:val="16"/>
                <w:lang w:val="fr-FR"/>
              </w:rPr>
              <w:t>REGION DU SUD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</w:t>
            </w:r>
            <w:r w:rsidRPr="0085336E">
              <w:rPr>
                <w:b/>
                <w:sz w:val="16"/>
                <w:szCs w:val="16"/>
                <w:lang w:val="fr-FR"/>
              </w:rPr>
              <w:t>DEPARTEMENT DE LA MVILA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</w:t>
            </w:r>
            <w:r>
              <w:rPr>
                <w:b/>
                <w:sz w:val="16"/>
                <w:szCs w:val="16"/>
                <w:lang w:val="fr-FR"/>
              </w:rPr>
              <w:t xml:space="preserve"> </w:t>
            </w:r>
            <w:r w:rsidRPr="0085336E">
              <w:rPr>
                <w:b/>
                <w:sz w:val="16"/>
                <w:szCs w:val="16"/>
                <w:lang w:val="fr-FR"/>
              </w:rPr>
              <w:t xml:space="preserve">  COMMUNE D’ARRONDISSEMENT </w:t>
            </w:r>
          </w:p>
          <w:p w:rsidR="002348BD" w:rsidRPr="0085336E" w:rsidRDefault="002348BD" w:rsidP="002348BD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              D’EBOLOWA 1</w:t>
            </w:r>
            <w:r w:rsidRPr="0085336E">
              <w:rPr>
                <w:b/>
                <w:sz w:val="16"/>
                <w:szCs w:val="16"/>
                <w:vertAlign w:val="superscript"/>
                <w:lang w:val="fr-FR"/>
              </w:rPr>
              <w:t>ER</w:t>
            </w:r>
          </w:p>
          <w:p w:rsidR="002348BD" w:rsidRPr="0085336E" w:rsidRDefault="002348BD" w:rsidP="002348BD">
            <w:pPr>
              <w:rPr>
                <w:sz w:val="16"/>
                <w:szCs w:val="16"/>
                <w:lang w:val="fr-FR"/>
              </w:rPr>
            </w:pPr>
            <w:r w:rsidRPr="0085336E">
              <w:rPr>
                <w:sz w:val="16"/>
                <w:szCs w:val="16"/>
                <w:lang w:val="fr-FR"/>
              </w:rPr>
              <w:t xml:space="preserve">                                     ******</w:t>
            </w:r>
          </w:p>
          <w:p w:rsidR="002348BD" w:rsidRPr="0085336E" w:rsidRDefault="002348BD" w:rsidP="002348BD">
            <w:pPr>
              <w:rPr>
                <w:sz w:val="16"/>
                <w:szCs w:val="16"/>
                <w:lang w:val="fr-FR"/>
              </w:rPr>
            </w:pPr>
          </w:p>
          <w:p w:rsidR="002348BD" w:rsidRDefault="002348BD" w:rsidP="002348BD">
            <w:pPr>
              <w:rPr>
                <w:lang w:val="fr-FR"/>
              </w:rPr>
            </w:pPr>
          </w:p>
          <w:p w:rsidR="002348BD" w:rsidRPr="008D57AC" w:rsidRDefault="002348BD" w:rsidP="002348BD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675" w:type="dxa"/>
          </w:tcPr>
          <w:p w:rsidR="002348BD" w:rsidRDefault="002348BD" w:rsidP="002348BD">
            <w:pPr>
              <w:jc w:val="center"/>
              <w:rPr>
                <w:b/>
                <w:sz w:val="16"/>
                <w:szCs w:val="16"/>
              </w:rPr>
            </w:pP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REPUBLIC OF CAMEROON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PEACE-WORK-FATHERLAND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 xml:space="preserve">MINISTRY OF DECENTRALIZATION 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AND LOCAL DEVELOPMENT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SOUTH REGION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MVILA DIVISION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85336E">
              <w:rPr>
                <w:b/>
                <w:sz w:val="16"/>
                <w:szCs w:val="16"/>
              </w:rPr>
              <w:t>EBOLOWA 1</w:t>
            </w:r>
            <w:r w:rsidRPr="0085336E">
              <w:rPr>
                <w:b/>
                <w:sz w:val="16"/>
                <w:szCs w:val="16"/>
                <w:vertAlign w:val="superscript"/>
              </w:rPr>
              <w:t>ST</w:t>
            </w:r>
            <w:r w:rsidRPr="0085336E">
              <w:rPr>
                <w:b/>
                <w:sz w:val="16"/>
                <w:szCs w:val="16"/>
              </w:rPr>
              <w:t xml:space="preserve"> COUNCIL</w:t>
            </w:r>
          </w:p>
          <w:p w:rsidR="002348BD" w:rsidRPr="0085336E" w:rsidRDefault="002348BD" w:rsidP="002348BD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2348BD" w:rsidRPr="0085336E" w:rsidRDefault="002348BD" w:rsidP="002348BD">
            <w:pPr>
              <w:rPr>
                <w:sz w:val="16"/>
                <w:szCs w:val="16"/>
              </w:rPr>
            </w:pPr>
          </w:p>
          <w:p w:rsidR="002348BD" w:rsidRPr="0085336E" w:rsidRDefault="002348BD" w:rsidP="002348BD">
            <w:pPr>
              <w:rPr>
                <w:sz w:val="16"/>
                <w:szCs w:val="16"/>
              </w:rPr>
            </w:pPr>
          </w:p>
          <w:p w:rsidR="002348BD" w:rsidRPr="0085336E" w:rsidRDefault="002348BD" w:rsidP="002348BD">
            <w:pPr>
              <w:rPr>
                <w:sz w:val="16"/>
                <w:szCs w:val="16"/>
              </w:rPr>
            </w:pPr>
          </w:p>
          <w:p w:rsidR="002348BD" w:rsidRPr="00741515" w:rsidRDefault="002348BD" w:rsidP="002348BD">
            <w:pPr>
              <w:tabs>
                <w:tab w:val="left" w:pos="900"/>
              </w:tabs>
            </w:pPr>
          </w:p>
        </w:tc>
      </w:tr>
    </w:tbl>
    <w:p w:rsidR="00FD7AD0" w:rsidRPr="00FD7AD0" w:rsidRDefault="007C2859" w:rsidP="00FD7AD0">
      <w:pPr>
        <w:spacing w:line="240" w:lineRule="auto"/>
        <w:jc w:val="both"/>
        <w:rPr>
          <w:rFonts w:ascii="Agency FB" w:hAnsi="Agency FB"/>
          <w:b/>
          <w:i/>
          <w:sz w:val="28"/>
          <w:lang w:val="fr-FR"/>
        </w:rPr>
      </w:pPr>
      <w:r>
        <w:rPr>
          <w:rFonts w:ascii="Agency FB" w:hAnsi="Agency FB" w:cs="Times New Roman"/>
          <w:b/>
          <w:i/>
          <w:sz w:val="28"/>
          <w:szCs w:val="28"/>
          <w:lang w:val="fr-FR"/>
        </w:rPr>
        <w:t>DECISION N°0</w:t>
      </w:r>
      <w:r w:rsidR="00FD7AD0">
        <w:rPr>
          <w:rFonts w:ascii="Agency FB" w:hAnsi="Agency FB" w:cs="Times New Roman"/>
          <w:b/>
          <w:i/>
          <w:sz w:val="28"/>
          <w:szCs w:val="28"/>
          <w:lang w:val="fr-FR"/>
        </w:rPr>
        <w:t>7</w:t>
      </w:r>
      <w:r w:rsidR="009042D6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/</w:t>
      </w:r>
      <w:r w:rsidR="008278A6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D/M/CA.EBWA 1</w:t>
      </w:r>
      <w:r w:rsidR="008278A6" w:rsidRPr="00C17AA1">
        <w:rPr>
          <w:rFonts w:ascii="Agency FB" w:hAnsi="Agency FB" w:cs="Times New Roman"/>
          <w:b/>
          <w:i/>
          <w:sz w:val="28"/>
          <w:szCs w:val="28"/>
          <w:vertAlign w:val="superscript"/>
          <w:lang w:val="fr-FR"/>
        </w:rPr>
        <w:t>ER</w:t>
      </w:r>
      <w:r w:rsidR="008278A6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/ </w:t>
      </w:r>
      <w:r w:rsidR="00D96634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20</w:t>
      </w:r>
      <w:r w:rsidR="00D43174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2</w:t>
      </w:r>
      <w:r w:rsidR="00D2093D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5</w:t>
      </w:r>
      <w:r w:rsidR="001340B7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 </w:t>
      </w:r>
      <w:r w:rsidR="008278A6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portant </w:t>
      </w:r>
      <w:r w:rsidR="00197172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attribution</w:t>
      </w:r>
      <w:r w:rsidR="008D57AC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 </w:t>
      </w:r>
      <w:r w:rsidR="008278A6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des </w:t>
      </w:r>
      <w:r w:rsidR="00197172" w:rsidRPr="00C17AA1">
        <w:rPr>
          <w:rFonts w:ascii="Agency FB" w:hAnsi="Agency FB" w:cs="Times New Roman"/>
          <w:b/>
          <w:i/>
          <w:sz w:val="28"/>
          <w:szCs w:val="28"/>
          <w:lang w:val="fr-FR"/>
        </w:rPr>
        <w:t>travaux relatifs à</w:t>
      </w:r>
      <w:r w:rsidR="008278A6" w:rsidRPr="00C17AA1">
        <w:rPr>
          <w:rFonts w:ascii="Agency FB" w:hAnsi="Agency FB" w:cs="Times New Roman"/>
          <w:i/>
          <w:sz w:val="28"/>
          <w:szCs w:val="28"/>
          <w:lang w:val="fr-FR"/>
        </w:rPr>
        <w:t xml:space="preserve"> </w:t>
      </w:r>
      <w:r w:rsidR="00BC5228" w:rsidRPr="00BC5228">
        <w:rPr>
          <w:rFonts w:ascii="Agency FB" w:hAnsi="Agency FB" w:cs="Times New Roman"/>
          <w:i/>
          <w:sz w:val="28"/>
          <w:szCs w:val="28"/>
          <w:lang w:val="fr-FR"/>
        </w:rPr>
        <w:t>L’</w:t>
      </w:r>
      <w:r w:rsidR="00BC5228" w:rsidRPr="00BC5228">
        <w:rPr>
          <w:rFonts w:ascii="Agency FB" w:hAnsi="Agency FB"/>
          <w:b/>
          <w:i/>
          <w:sz w:val="28"/>
          <w:szCs w:val="28"/>
          <w:lang w:val="fr-FR"/>
        </w:rPr>
        <w:t xml:space="preserve"> </w:t>
      </w:r>
      <w:r w:rsidR="00FD7AD0" w:rsidRPr="00FD7AD0">
        <w:rPr>
          <w:rFonts w:ascii="Agency FB" w:hAnsi="Agency FB"/>
          <w:b/>
          <w:i/>
          <w:sz w:val="28"/>
          <w:lang w:val="fr-FR"/>
        </w:rPr>
        <w:t xml:space="preserve">AVIS D’APPEL D’OFFRES NATIONAL OUVERT N°04/AONO/ CA-EBWA1/CIPM/2025 DU </w:t>
      </w:r>
      <w:r w:rsidR="00FD7AD0" w:rsidRPr="00FD7AD0">
        <w:rPr>
          <w:rFonts w:ascii="Agency FB" w:hAnsi="Agency FB"/>
          <w:b/>
          <w:i/>
          <w:sz w:val="28"/>
          <w:lang w:val="fr-FR"/>
        </w:rPr>
        <w:t>28/05/2025</w:t>
      </w:r>
      <w:r w:rsidR="00FD7AD0" w:rsidRPr="00FD7AD0">
        <w:rPr>
          <w:rFonts w:ascii="Agency FB" w:hAnsi="Agency FB"/>
          <w:b/>
          <w:i/>
          <w:sz w:val="28"/>
          <w:lang w:val="fr-FR"/>
        </w:rPr>
        <w:t xml:space="preserve"> POUR LES TRAVAUX DE REHABILITATION DE LA CASE COMMUNAUTAIRE DE MVIENG DANS LA COMMUNE D’ARRONDISSEMENT D’EBOLOWA 1</w:t>
      </w:r>
      <w:r w:rsidR="00FD7AD0" w:rsidRPr="00FD7AD0">
        <w:rPr>
          <w:rFonts w:ascii="Agency FB" w:hAnsi="Agency FB"/>
          <w:b/>
          <w:i/>
          <w:sz w:val="28"/>
          <w:vertAlign w:val="superscript"/>
          <w:lang w:val="fr-FR"/>
        </w:rPr>
        <w:t>ER</w:t>
      </w:r>
      <w:r w:rsidR="00FD7AD0" w:rsidRPr="00FD7AD0">
        <w:rPr>
          <w:rFonts w:ascii="Agency FB" w:hAnsi="Agency FB"/>
          <w:b/>
          <w:i/>
          <w:sz w:val="28"/>
          <w:lang w:val="fr-FR"/>
        </w:rPr>
        <w:t>.DEPARTEMENT DE LA MVILA. REGION DU SUD.</w:t>
      </w:r>
    </w:p>
    <w:p w:rsidR="00BC5228" w:rsidRPr="00BC5228" w:rsidRDefault="00BC5228" w:rsidP="00BC5228">
      <w:pPr>
        <w:spacing w:line="240" w:lineRule="auto"/>
        <w:jc w:val="both"/>
        <w:rPr>
          <w:rFonts w:ascii="Agency FB" w:hAnsi="Agency FB"/>
          <w:b/>
          <w:i/>
          <w:sz w:val="28"/>
          <w:szCs w:val="28"/>
          <w:lang w:val="fr-FR"/>
        </w:rPr>
      </w:pPr>
    </w:p>
    <w:p w:rsidR="001212B5" w:rsidRPr="00C17AA1" w:rsidRDefault="001212B5" w:rsidP="00C17AA1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val="fr-FR"/>
        </w:rPr>
      </w:pPr>
      <w:r w:rsidRPr="00C17AA1">
        <w:rPr>
          <w:rFonts w:ascii="Times New Roman" w:eastAsia="Calibri" w:hAnsi="Times New Roman" w:cs="Times New Roman"/>
          <w:b/>
          <w:bCs/>
          <w:sz w:val="24"/>
          <w:szCs w:val="28"/>
          <w:lang w:val="fr-FR"/>
        </w:rPr>
        <w:t xml:space="preserve">FINANCEMENT : </w:t>
      </w:r>
      <w:r w:rsidR="00C17AA1" w:rsidRPr="00BC5228">
        <w:rPr>
          <w:rFonts w:ascii="Times New Roman" w:hAnsi="Times New Roman" w:cs="Times New Roman"/>
          <w:spacing w:val="-1"/>
          <w:w w:val="105"/>
          <w:sz w:val="24"/>
          <w:szCs w:val="28"/>
          <w:lang w:val="fr-FR"/>
        </w:rPr>
        <w:t>BIP MINEDUB</w:t>
      </w:r>
      <w:r w:rsidR="00C17AA1" w:rsidRPr="00BC5228">
        <w:rPr>
          <w:rFonts w:ascii="Times New Roman" w:hAnsi="Times New Roman" w:cs="Times New Roman"/>
          <w:w w:val="105"/>
          <w:sz w:val="24"/>
          <w:szCs w:val="28"/>
          <w:lang w:val="fr-FR"/>
        </w:rPr>
        <w:t xml:space="preserve"> ;</w:t>
      </w:r>
      <w:r w:rsidR="00C17AA1" w:rsidRPr="00BC5228">
        <w:rPr>
          <w:rFonts w:ascii="Times New Roman" w:hAnsi="Times New Roman" w:cs="Times New Roman"/>
          <w:spacing w:val="-11"/>
          <w:w w:val="105"/>
          <w:sz w:val="24"/>
          <w:szCs w:val="28"/>
          <w:lang w:val="fr-FR"/>
        </w:rPr>
        <w:t xml:space="preserve"> </w:t>
      </w:r>
      <w:r w:rsidR="00C17AA1" w:rsidRPr="00BC5228">
        <w:rPr>
          <w:rFonts w:ascii="Times New Roman" w:hAnsi="Times New Roman" w:cs="Times New Roman"/>
          <w:w w:val="105"/>
          <w:sz w:val="24"/>
          <w:szCs w:val="28"/>
          <w:lang w:val="fr-FR"/>
        </w:rPr>
        <w:t>EXERCICE</w:t>
      </w:r>
      <w:r w:rsidR="00C17AA1" w:rsidRPr="00BC5228">
        <w:rPr>
          <w:rFonts w:ascii="Times New Roman" w:hAnsi="Times New Roman" w:cs="Times New Roman"/>
          <w:spacing w:val="-13"/>
          <w:w w:val="105"/>
          <w:sz w:val="24"/>
          <w:szCs w:val="28"/>
          <w:lang w:val="fr-FR"/>
        </w:rPr>
        <w:t xml:space="preserve"> </w:t>
      </w:r>
      <w:r w:rsidR="00C17AA1" w:rsidRPr="00BC5228">
        <w:rPr>
          <w:rFonts w:ascii="Times New Roman" w:hAnsi="Times New Roman" w:cs="Times New Roman"/>
          <w:w w:val="105"/>
          <w:sz w:val="24"/>
          <w:szCs w:val="28"/>
          <w:lang w:val="fr-FR"/>
        </w:rPr>
        <w:t>2025</w:t>
      </w:r>
    </w:p>
    <w:p w:rsidR="008278A6" w:rsidRPr="00D96634" w:rsidRDefault="008278A6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96634">
        <w:rPr>
          <w:rFonts w:ascii="Times New Roman" w:hAnsi="Times New Roman" w:cs="Times New Roman"/>
          <w:sz w:val="28"/>
          <w:szCs w:val="28"/>
          <w:lang w:val="fr-FR"/>
        </w:rPr>
        <w:t>LE MAIRE DE LA COMMUNE D’ARRONDISSEMENT D’EBOLOWA 1</w:t>
      </w:r>
      <w:r w:rsidRPr="00D9663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ER</w:t>
      </w:r>
    </w:p>
    <w:p w:rsidR="008278A6" w:rsidRPr="001F4C45" w:rsidRDefault="008278A6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278A6" w:rsidRPr="007A7867" w:rsidRDefault="008278A6" w:rsidP="00E57200">
      <w:pPr>
        <w:pStyle w:val="Paragraphedeliste"/>
        <w:numPr>
          <w:ilvl w:val="0"/>
          <w:numId w:val="7"/>
        </w:numPr>
        <w:spacing w:after="0" w:line="240" w:lineRule="auto"/>
        <w:rPr>
          <w:rFonts w:ascii="Arial Narrow" w:hAnsi="Arial Narrow" w:cs="Times New Roman"/>
          <w:sz w:val="20"/>
          <w:szCs w:val="24"/>
          <w:lang w:val="fr-FR"/>
        </w:rPr>
      </w:pPr>
      <w:r w:rsidRPr="007A7867">
        <w:rPr>
          <w:rFonts w:ascii="Arial Narrow" w:hAnsi="Arial Narrow" w:cs="Times New Roman"/>
          <w:sz w:val="20"/>
          <w:szCs w:val="24"/>
          <w:lang w:val="fr-FR"/>
        </w:rPr>
        <w:t>Vu la Constitution 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lang w:val="fr-FR"/>
        </w:rPr>
        <w:t>La Loi n° 75/15 du 08 Décembre 1975 portant assurance obligatoire des risques de construction 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 n° 92/007 du 14 août 1992 portant Code de travail ;</w:t>
      </w:r>
    </w:p>
    <w:p w:rsidR="007A7867" w:rsidRPr="007A7867" w:rsidRDefault="007A7867" w:rsidP="007A7867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 n° 2015/018 du 21 décembre 2015 régissant l'activité commerciale au Cameroun ;</w:t>
      </w:r>
    </w:p>
    <w:p w:rsidR="007A7867" w:rsidRPr="007A7867" w:rsidRDefault="007A7867" w:rsidP="007A7867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 N° 98/013 du 14 juil. 1998 relative à la concurrence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lang w:val="fr-FR"/>
        </w:rPr>
        <w:t>La loi  n° 096/12 du 05 août 1996 portant loi-cadre relative à la gestion de l’environnement 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lang w:val="fr-FR"/>
        </w:rPr>
      </w:pPr>
      <w:r w:rsidRPr="007A7867">
        <w:rPr>
          <w:rFonts w:ascii="Arial Narrow" w:eastAsia="Calibri" w:hAnsi="Arial Narrow"/>
          <w:lang w:val="fr-FR"/>
        </w:rPr>
        <w:t xml:space="preserve">La loi n° 2018/012 du 11 juillet 2018 portant régime financier de l’Etat ; 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 n°2016/17 du 14 décembre 2016 portant Code minier 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 n° 2024/013 du 23 décembre 2024 portant loi des finances de la République du Cameroun pour le compte de l’exercice 2025;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loi-cadre N° 2011/012 du 6 mai 2011 portant protection du consommateur au Cameroun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loi n°2018/011 du 11 juillet 2018 portant code de transparence des bonnes gouvernances dans la gestion des finances publiques au Cameroun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Le Décret n° 77-318 du 17 Août 1977 portant application de la loi n° 75-15 du 08  Décembre 1975 rendant obligatoire l’assurance des risques relatifs à la construction 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Le décret n° 2012/075 du 08 mars 2012 portant organisation du Ministère des Marchés Publics dans ses dispositions non contraires au Code des Marchés Publics 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spacing w:val="5"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Le décret n° 2001/048 du</w:t>
      </w:r>
      <w:r w:rsidRPr="007A7867">
        <w:rPr>
          <w:rFonts w:ascii="Arial Narrow" w:eastAsia="Calibri" w:hAnsi="Arial Narrow"/>
          <w:iCs/>
          <w:spacing w:val="5"/>
          <w:lang w:val="fr-FR"/>
        </w:rPr>
        <w:t xml:space="preserve"> 23 février 2001 portant organisation et fonctionnement de l’Agence de Régulation des Marchés Publics et ses textes modificatifs subséquents 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</w:t>
      </w:r>
      <w:r w:rsidRPr="007A7867">
        <w:rPr>
          <w:rFonts w:ascii="Arial Narrow" w:eastAsia="Calibri" w:hAnsi="Arial Narrow"/>
          <w:lang w:val="fr-FR"/>
        </w:rPr>
        <w:t>e Décret n° 2005/577 du 23 février 2005 fixant les modalités de réalisation des études d’impact environnemental 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lang w:val="fr-FR"/>
        </w:rPr>
      </w:pPr>
      <w:r w:rsidRPr="007A7867">
        <w:rPr>
          <w:rFonts w:ascii="Arial Narrow" w:eastAsia="Calibri" w:hAnsi="Arial Narrow"/>
          <w:lang w:val="fr-FR"/>
        </w:rPr>
        <w:t>le Décret n° 2011/408 du 9 décembre 2011 portant organisation du Gouvernement modifié et complété par le décret n° 2018/190 du 02 mars 2018;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Le Décret n° 2014/0611/PM du 24 mars 2014 fixant les conditions de recours et d’application de l’approche HIMO ;</w:t>
      </w:r>
      <w:r w:rsidR="00A471E1">
        <w:rPr>
          <w:rFonts w:ascii="Arial Narrow" w:eastAsia="Calibri" w:hAnsi="Arial Narrow"/>
          <w:iCs/>
          <w:lang w:val="fr-FR"/>
        </w:rPr>
        <w:t xml:space="preserve"> 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 xml:space="preserve">Le Décret </w:t>
      </w:r>
      <w:bookmarkStart w:id="0" w:name="_Hlk3641215"/>
      <w:r w:rsidRPr="007A7867">
        <w:rPr>
          <w:rFonts w:ascii="Arial Narrow" w:eastAsia="Calibri" w:hAnsi="Arial Narrow"/>
          <w:iCs/>
          <w:lang w:val="fr-FR"/>
        </w:rPr>
        <w:t xml:space="preserve">n° 2018/366 du 20 juin 2018 </w:t>
      </w:r>
      <w:bookmarkEnd w:id="0"/>
      <w:r w:rsidRPr="007A7867">
        <w:rPr>
          <w:rFonts w:ascii="Arial Narrow" w:eastAsia="Calibri" w:hAnsi="Arial Narrow"/>
          <w:iCs/>
          <w:lang w:val="fr-FR"/>
        </w:rPr>
        <w:t>portant Code des Marchés Publics et ses textes d’application ;</w:t>
      </w:r>
    </w:p>
    <w:p w:rsidR="007A7867" w:rsidRPr="007A7867" w:rsidRDefault="007A7867" w:rsidP="007A7867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iCs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L’arrêté mettant en vigueur Les Cahiers des Clauses Administratives Générales (CCAG) applicables aux Marchés Publics de travaux en vigueur ;</w:t>
      </w:r>
    </w:p>
    <w:p w:rsidR="007A7867" w:rsidRPr="007A7867" w:rsidRDefault="007A7867" w:rsidP="007A7867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Calibri" w:hAnsi="Arial Narrow"/>
          <w:lang w:val="fr-FR"/>
        </w:rPr>
      </w:pPr>
      <w:r w:rsidRPr="007A7867">
        <w:rPr>
          <w:rFonts w:ascii="Arial Narrow" w:eastAsia="Calibri" w:hAnsi="Arial Narrow"/>
          <w:iCs/>
          <w:lang w:val="fr-FR"/>
        </w:rPr>
        <w:t>La circulaire n° 00013995/C/MINFI du 31 décembre 2024 portant instructions relatives à l’exécution de la loi des finance, au suivi et au contrôle de l’exécution du budget de l’Etat et des autres entités Publiques pour l’exercice 2025 ;</w:t>
      </w:r>
    </w:p>
    <w:p w:rsidR="007A7867" w:rsidRPr="007A7867" w:rsidRDefault="007A7867" w:rsidP="007A7867">
      <w:pPr>
        <w:pStyle w:val="Paragraphedeliste"/>
        <w:numPr>
          <w:ilvl w:val="0"/>
          <w:numId w:val="7"/>
        </w:numPr>
        <w:suppressAutoHyphens/>
        <w:autoSpaceDN w:val="0"/>
        <w:spacing w:after="0" w:line="244" w:lineRule="auto"/>
        <w:contextualSpacing w:val="0"/>
        <w:jc w:val="both"/>
        <w:textAlignment w:val="baseline"/>
        <w:rPr>
          <w:rFonts w:ascii="Arial Narrow" w:hAnsi="Arial Narrow"/>
          <w:sz w:val="24"/>
          <w:szCs w:val="24"/>
          <w:lang w:val="fr-FR"/>
        </w:rPr>
      </w:pPr>
      <w:r w:rsidRPr="007A7867">
        <w:rPr>
          <w:rFonts w:ascii="Arial Narrow" w:hAnsi="Arial Narrow"/>
          <w:sz w:val="24"/>
          <w:szCs w:val="24"/>
          <w:lang w:val="fr-FR"/>
        </w:rPr>
        <w:lastRenderedPageBreak/>
        <w:t>La lettre circulaire n° 000019/LCMINMAP du 05 juin 2024 relatives aux modalités de constitution, de consignation, de conservation, de restitution et de déconsignation des cautionnements sur les marchés publics ;</w:t>
      </w:r>
    </w:p>
    <w:p w:rsidR="00860C82" w:rsidRPr="007A7867" w:rsidRDefault="00DC4231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Cs w:val="24"/>
          <w:lang w:val="fr-FR"/>
        </w:rPr>
      </w:pPr>
      <w:r w:rsidRPr="007A7867">
        <w:rPr>
          <w:rFonts w:ascii="Arial Narrow" w:hAnsi="Arial Narrow" w:cs="Times New Roman"/>
          <w:szCs w:val="24"/>
          <w:lang w:val="fr-FR"/>
        </w:rPr>
        <w:t>Vu le</w:t>
      </w:r>
      <w:r w:rsidR="00860C82" w:rsidRPr="007A7867">
        <w:rPr>
          <w:rFonts w:ascii="Arial Narrow" w:hAnsi="Arial Narrow" w:cs="Times New Roman"/>
          <w:szCs w:val="24"/>
          <w:lang w:val="fr-FR"/>
        </w:rPr>
        <w:t xml:space="preserve"> décret 2007/117 du 24 Avril 2007</w:t>
      </w:r>
      <w:r w:rsidR="00B74E88" w:rsidRPr="007A7867">
        <w:rPr>
          <w:rFonts w:ascii="Arial Narrow" w:hAnsi="Arial Narrow" w:cs="Times New Roman"/>
          <w:szCs w:val="24"/>
          <w:lang w:val="fr-FR"/>
        </w:rPr>
        <w:t>, portant</w:t>
      </w:r>
      <w:r w:rsidR="00860C82" w:rsidRPr="007A7867">
        <w:rPr>
          <w:rFonts w:ascii="Arial Narrow" w:hAnsi="Arial Narrow" w:cs="Times New Roman"/>
          <w:szCs w:val="24"/>
          <w:lang w:val="fr-FR"/>
        </w:rPr>
        <w:t xml:space="preserve"> création de la Commune d’</w:t>
      </w:r>
      <w:r w:rsidR="00E57200" w:rsidRPr="007A7867">
        <w:rPr>
          <w:rFonts w:ascii="Arial Narrow" w:hAnsi="Arial Narrow" w:cs="Times New Roman"/>
          <w:szCs w:val="24"/>
          <w:lang w:val="fr-FR"/>
        </w:rPr>
        <w:t xml:space="preserve">Arrondissement </w:t>
      </w:r>
      <w:r w:rsidRPr="007A7867">
        <w:rPr>
          <w:rFonts w:ascii="Arial Narrow" w:hAnsi="Arial Narrow" w:cs="Times New Roman"/>
          <w:szCs w:val="24"/>
          <w:lang w:val="fr-FR"/>
        </w:rPr>
        <w:t xml:space="preserve">d’Ebolowa </w:t>
      </w:r>
      <w:r w:rsidR="00D9721C" w:rsidRPr="007A7867">
        <w:rPr>
          <w:rFonts w:ascii="Arial Narrow" w:hAnsi="Arial Narrow" w:cs="Times New Roman"/>
          <w:szCs w:val="24"/>
          <w:lang w:val="fr-FR"/>
        </w:rPr>
        <w:t>1</w:t>
      </w:r>
      <w:r w:rsidR="00D9721C" w:rsidRPr="007A7867">
        <w:rPr>
          <w:rFonts w:ascii="Arial Narrow" w:hAnsi="Arial Narrow" w:cs="Times New Roman"/>
          <w:szCs w:val="24"/>
          <w:vertAlign w:val="superscript"/>
          <w:lang w:val="fr-FR"/>
        </w:rPr>
        <w:t>er</w:t>
      </w:r>
      <w:r w:rsidR="00D9721C" w:rsidRPr="007A7867">
        <w:rPr>
          <w:rFonts w:ascii="Arial Narrow" w:hAnsi="Arial Narrow" w:cs="Times New Roman"/>
          <w:szCs w:val="24"/>
          <w:lang w:val="fr-FR"/>
        </w:rPr>
        <w:t>,</w:t>
      </w:r>
    </w:p>
    <w:p w:rsidR="00B74E88" w:rsidRPr="007A7867" w:rsidRDefault="00B74E88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Cs w:val="24"/>
          <w:lang w:val="fr-FR"/>
        </w:rPr>
      </w:pPr>
      <w:r w:rsidRPr="007A7867">
        <w:rPr>
          <w:rFonts w:ascii="Arial Narrow" w:hAnsi="Arial Narrow" w:cs="Times New Roman"/>
          <w:szCs w:val="24"/>
          <w:lang w:val="fr-FR"/>
        </w:rPr>
        <w:t>Vu l’arrêté n° 0016/A/MINMAP du 15 Janvier 2014 portant création des Commissions Interne</w:t>
      </w:r>
      <w:r w:rsidR="00D43174" w:rsidRPr="007A7867">
        <w:rPr>
          <w:rFonts w:ascii="Arial Narrow" w:hAnsi="Arial Narrow" w:cs="Times New Roman"/>
          <w:szCs w:val="24"/>
          <w:lang w:val="fr-FR"/>
        </w:rPr>
        <w:t>s</w:t>
      </w:r>
      <w:r w:rsidRPr="007A7867">
        <w:rPr>
          <w:rFonts w:ascii="Arial Narrow" w:hAnsi="Arial Narrow" w:cs="Times New Roman"/>
          <w:szCs w:val="24"/>
          <w:lang w:val="fr-FR"/>
        </w:rPr>
        <w:t xml:space="preserve"> de</w:t>
      </w:r>
      <w:r w:rsidR="00ED15C1" w:rsidRPr="007A7867">
        <w:rPr>
          <w:rFonts w:ascii="Arial Narrow" w:hAnsi="Arial Narrow" w:cs="Times New Roman"/>
          <w:szCs w:val="24"/>
          <w:lang w:val="fr-FR"/>
        </w:rPr>
        <w:t xml:space="preserve"> </w:t>
      </w:r>
      <w:r w:rsidRPr="007A7867">
        <w:rPr>
          <w:rFonts w:ascii="Arial Narrow" w:hAnsi="Arial Narrow" w:cs="Times New Roman"/>
          <w:szCs w:val="24"/>
          <w:lang w:val="fr-FR"/>
        </w:rPr>
        <w:t>Passation des Marchés auprès de certaines Communes ;</w:t>
      </w:r>
    </w:p>
    <w:p w:rsidR="00F46E96" w:rsidRPr="007A7867" w:rsidRDefault="00F46E96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Cs w:val="24"/>
          <w:lang w:val="fr-FR"/>
        </w:rPr>
      </w:pPr>
      <w:r w:rsidRPr="007A7867">
        <w:rPr>
          <w:rFonts w:ascii="Arial Narrow" w:hAnsi="Arial Narrow" w:cs="Times New Roman"/>
          <w:szCs w:val="24"/>
          <w:lang w:val="fr-FR"/>
        </w:rPr>
        <w:t xml:space="preserve">Vu l’arrêté n° 093/CAB/PM du 13 Février 2007 mettant en vigueur le cahier de clauses Administratives Générales applicables aux marchés de travaux </w:t>
      </w:r>
      <w:r w:rsidR="006D4B03" w:rsidRPr="007A7867">
        <w:rPr>
          <w:rFonts w:ascii="Arial Narrow" w:hAnsi="Arial Narrow" w:cs="Times New Roman"/>
          <w:szCs w:val="24"/>
          <w:lang w:val="fr-FR"/>
        </w:rPr>
        <w:t>publics, de</w:t>
      </w:r>
      <w:r w:rsidRPr="007A7867">
        <w:rPr>
          <w:rFonts w:ascii="Arial Narrow" w:hAnsi="Arial Narrow" w:cs="Times New Roman"/>
          <w:szCs w:val="24"/>
          <w:lang w:val="fr-FR"/>
        </w:rPr>
        <w:t xml:space="preserve"> fournitures et de services passés au nom de l’Etat et des Etablissements Publics nationaux non soumis aux lois et </w:t>
      </w:r>
      <w:r w:rsidR="00E563E7" w:rsidRPr="007A7867">
        <w:rPr>
          <w:rFonts w:ascii="Arial Narrow" w:hAnsi="Arial Narrow" w:cs="Times New Roman"/>
          <w:szCs w:val="24"/>
          <w:lang w:val="fr-FR"/>
        </w:rPr>
        <w:t>usages du</w:t>
      </w:r>
      <w:r w:rsidR="006D4B03" w:rsidRPr="007A7867">
        <w:rPr>
          <w:rFonts w:ascii="Arial Narrow" w:hAnsi="Arial Narrow" w:cs="Times New Roman"/>
          <w:szCs w:val="24"/>
          <w:lang w:val="fr-FR"/>
        </w:rPr>
        <w:t xml:space="preserve"> commerce ;</w:t>
      </w:r>
    </w:p>
    <w:p w:rsidR="00C75F04" w:rsidRPr="007A7867" w:rsidRDefault="00C75F04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Cs w:val="24"/>
          <w:lang w:val="fr-FR"/>
        </w:rPr>
      </w:pPr>
      <w:r w:rsidRPr="007A7867">
        <w:rPr>
          <w:rFonts w:ascii="Arial Narrow" w:hAnsi="Arial Narrow" w:cs="Times New Roman"/>
          <w:szCs w:val="24"/>
          <w:lang w:val="fr-FR"/>
        </w:rPr>
        <w:t>Vu l’arrêté 000309/A/MINDDEVEL du 09 Mars 2020 constatant l’élection du Maire et des adjoints au Maire à l’issue du scrutin municipal du 09 février 2020 dans la Commune d’Arrondissement d’Ebolowa 1 ;</w:t>
      </w:r>
    </w:p>
    <w:p w:rsidR="00197172" w:rsidRPr="007A7867" w:rsidRDefault="00197172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Cs w:val="24"/>
          <w:lang w:val="fr-FR"/>
        </w:rPr>
      </w:pPr>
      <w:r w:rsidRPr="007A7867">
        <w:rPr>
          <w:rFonts w:ascii="Arial Narrow" w:hAnsi="Arial Narrow" w:cs="Times New Roman"/>
          <w:szCs w:val="24"/>
          <w:lang w:val="fr-FR"/>
        </w:rPr>
        <w:t>L’arrêté n°0271/MINMAP/CAB du 27 Septembre 2018 instituant et organisant les modalités</w:t>
      </w:r>
      <w:r w:rsidR="000D554A" w:rsidRPr="007A7867">
        <w:rPr>
          <w:rFonts w:ascii="Arial Narrow" w:hAnsi="Arial Narrow" w:cs="Times New Roman"/>
          <w:szCs w:val="24"/>
          <w:lang w:val="fr-FR"/>
        </w:rPr>
        <w:t xml:space="preserve"> de rémunération et de paiement basés sur la performance de certains acteurs du système de Marchés Publics ;</w:t>
      </w:r>
    </w:p>
    <w:p w:rsidR="006D4B03" w:rsidRPr="007A7867" w:rsidRDefault="006D4B03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0"/>
          <w:szCs w:val="24"/>
          <w:lang w:val="fr-FR"/>
        </w:rPr>
      </w:pPr>
      <w:r w:rsidRPr="007A7867">
        <w:rPr>
          <w:rFonts w:ascii="Arial Narrow" w:hAnsi="Arial Narrow" w:cs="Times New Roman"/>
          <w:sz w:val="20"/>
          <w:szCs w:val="24"/>
          <w:lang w:val="fr-FR"/>
        </w:rPr>
        <w:t xml:space="preserve">Vu </w:t>
      </w:r>
      <w:r w:rsidR="008D57AC" w:rsidRPr="007A7867">
        <w:rPr>
          <w:rFonts w:ascii="Arial Narrow" w:hAnsi="Arial Narrow" w:cs="Times New Roman"/>
          <w:sz w:val="20"/>
          <w:szCs w:val="24"/>
          <w:lang w:val="fr-FR"/>
        </w:rPr>
        <w:t xml:space="preserve"> </w:t>
      </w:r>
      <w:r w:rsidR="000D554A" w:rsidRPr="007A7867">
        <w:rPr>
          <w:rFonts w:ascii="Arial Narrow" w:hAnsi="Arial Narrow" w:cs="Times New Roman"/>
          <w:sz w:val="20"/>
          <w:szCs w:val="24"/>
          <w:lang w:val="fr-FR"/>
        </w:rPr>
        <w:t>les propositions des soumissionnaires</w:t>
      </w:r>
      <w:r w:rsidR="00783CA9" w:rsidRPr="007A7867">
        <w:rPr>
          <w:rFonts w:ascii="Arial Narrow" w:hAnsi="Arial Narrow" w:cs="Times New Roman"/>
          <w:sz w:val="20"/>
          <w:szCs w:val="24"/>
          <w:lang w:val="fr-FR"/>
        </w:rPr>
        <w:t> ;</w:t>
      </w:r>
      <w:r w:rsidR="00D43174" w:rsidRPr="007A7867">
        <w:rPr>
          <w:rFonts w:ascii="Arial Narrow" w:hAnsi="Arial Narrow" w:cs="Times New Roman"/>
          <w:sz w:val="20"/>
          <w:szCs w:val="24"/>
          <w:lang w:val="fr-FR"/>
        </w:rPr>
        <w:t xml:space="preserve"> </w:t>
      </w:r>
    </w:p>
    <w:p w:rsidR="006D4B03" w:rsidRPr="00C17AA1" w:rsidRDefault="006D4B03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lang w:val="fr-FR"/>
        </w:rPr>
      </w:pPr>
      <w:r w:rsidRPr="007A7867">
        <w:rPr>
          <w:rFonts w:ascii="Arial Narrow" w:hAnsi="Arial Narrow" w:cs="Times New Roman"/>
          <w:sz w:val="20"/>
          <w:szCs w:val="24"/>
          <w:lang w:val="fr-FR"/>
        </w:rPr>
        <w:t xml:space="preserve">Vu </w:t>
      </w:r>
      <w:r w:rsidR="007A7867" w:rsidRPr="007A7867">
        <w:rPr>
          <w:rFonts w:ascii="Arial Narrow" w:hAnsi="Arial Narrow" w:cs="Times New Roman"/>
          <w:sz w:val="20"/>
          <w:szCs w:val="24"/>
          <w:lang w:val="fr-FR"/>
        </w:rPr>
        <w:t xml:space="preserve">la proposition d’attribution de la </w:t>
      </w:r>
      <w:r w:rsidR="00C17AA1" w:rsidRPr="00C17AA1">
        <w:rPr>
          <w:rFonts w:ascii="Arial Narrow" w:hAnsi="Arial Narrow" w:cs="Times New Roman"/>
          <w:lang w:val="fr-FR"/>
        </w:rPr>
        <w:t>Commission Interne de Passation des Marchés de la Commune d’Arrondissement d’Ebolowa 1</w:t>
      </w:r>
      <w:r w:rsidR="00C17AA1" w:rsidRPr="00C17AA1">
        <w:rPr>
          <w:rFonts w:ascii="Arial Narrow" w:hAnsi="Arial Narrow" w:cs="Times New Roman"/>
          <w:vertAlign w:val="superscript"/>
          <w:lang w:val="fr-FR"/>
        </w:rPr>
        <w:t>er</w:t>
      </w:r>
      <w:r w:rsidR="00C17AA1" w:rsidRPr="00C17AA1">
        <w:rPr>
          <w:rFonts w:ascii="Arial Narrow" w:hAnsi="Arial Narrow" w:cs="Times New Roman"/>
          <w:lang w:val="fr-FR"/>
        </w:rPr>
        <w:t xml:space="preserve"> en date</w:t>
      </w:r>
      <w:r w:rsidR="00A471E1" w:rsidRPr="00C17AA1">
        <w:rPr>
          <w:rFonts w:ascii="Arial Narrow" w:hAnsi="Arial Narrow" w:cs="Times New Roman"/>
          <w:lang w:val="fr-FR"/>
        </w:rPr>
        <w:t xml:space="preserve"> </w:t>
      </w:r>
      <w:r w:rsidR="007A7867" w:rsidRPr="00C17AA1">
        <w:rPr>
          <w:rFonts w:ascii="Arial Narrow" w:hAnsi="Arial Narrow" w:cs="Times New Roman"/>
          <w:lang w:val="fr-FR"/>
        </w:rPr>
        <w:t xml:space="preserve">du </w:t>
      </w:r>
      <w:r w:rsidR="00BC5228">
        <w:rPr>
          <w:rFonts w:ascii="Arial Narrow" w:hAnsi="Arial Narrow" w:cs="Times New Roman"/>
          <w:lang w:val="fr-FR"/>
        </w:rPr>
        <w:t>22</w:t>
      </w:r>
      <w:r w:rsidR="00C17AA1" w:rsidRPr="00C17AA1">
        <w:rPr>
          <w:rFonts w:ascii="Arial Narrow" w:hAnsi="Arial Narrow" w:cs="Times New Roman"/>
          <w:lang w:val="fr-FR"/>
        </w:rPr>
        <w:t xml:space="preserve"> </w:t>
      </w:r>
      <w:r w:rsidR="00BC5228">
        <w:rPr>
          <w:rFonts w:ascii="Arial Narrow" w:hAnsi="Arial Narrow" w:cs="Times New Roman"/>
          <w:lang w:val="fr-FR"/>
        </w:rPr>
        <w:t>Août</w:t>
      </w:r>
      <w:r w:rsidR="007A7867" w:rsidRPr="00C17AA1">
        <w:rPr>
          <w:rFonts w:ascii="Arial Narrow" w:hAnsi="Arial Narrow" w:cs="Times New Roman"/>
          <w:lang w:val="fr-FR"/>
        </w:rPr>
        <w:t xml:space="preserve"> 2025</w:t>
      </w:r>
      <w:r w:rsidR="000D554A" w:rsidRPr="00C17AA1">
        <w:rPr>
          <w:rFonts w:ascii="Arial Narrow" w:hAnsi="Arial Narrow" w:cs="Times New Roman"/>
          <w:lang w:val="fr-FR"/>
        </w:rPr>
        <w:t>.</w:t>
      </w:r>
    </w:p>
    <w:p w:rsidR="00D96634" w:rsidRPr="007A7867" w:rsidRDefault="00D96634" w:rsidP="006D4B03">
      <w:pPr>
        <w:spacing w:after="0" w:line="240" w:lineRule="auto"/>
        <w:rPr>
          <w:rFonts w:ascii="Arial Narrow" w:hAnsi="Arial Narrow" w:cs="Times New Roman"/>
          <w:szCs w:val="28"/>
          <w:lang w:val="fr-FR"/>
        </w:rPr>
      </w:pPr>
    </w:p>
    <w:p w:rsidR="00D96634" w:rsidRPr="007F401B" w:rsidRDefault="00D96634" w:rsidP="007F40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D96634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DECIDE</w:t>
      </w:r>
      <w:r w:rsidRPr="00D96634">
        <w:rPr>
          <w:rFonts w:ascii="Times New Roman" w:hAnsi="Times New Roman" w:cs="Times New Roman"/>
          <w:b/>
          <w:sz w:val="32"/>
          <w:szCs w:val="32"/>
          <w:lang w:val="fr-FR"/>
        </w:rPr>
        <w:t> :</w:t>
      </w:r>
    </w:p>
    <w:p w:rsidR="00A471E1" w:rsidRDefault="00A471E1" w:rsidP="008D57AC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8D57AC" w:rsidRDefault="006D4B03" w:rsidP="008D57AC">
      <w:pPr>
        <w:spacing w:after="0"/>
        <w:rPr>
          <w:rFonts w:ascii="Arial" w:hAnsi="Arial" w:cs="Arial"/>
          <w:sz w:val="28"/>
          <w:szCs w:val="28"/>
          <w:lang w:val="fr-FR"/>
        </w:rPr>
      </w:pPr>
      <w:r w:rsidRPr="001F7255">
        <w:rPr>
          <w:rFonts w:ascii="Times New Roman" w:hAnsi="Times New Roman" w:cs="Times New Roman"/>
          <w:b/>
          <w:sz w:val="28"/>
          <w:szCs w:val="28"/>
          <w:lang w:val="fr-FR"/>
        </w:rPr>
        <w:t>Article 1</w:t>
      </w:r>
      <w:r w:rsidRPr="001F7255">
        <w:rPr>
          <w:rFonts w:ascii="Times New Roman" w:hAnsi="Times New Roman" w:cs="Times New Roman"/>
          <w:b/>
          <w:sz w:val="28"/>
          <w:szCs w:val="28"/>
          <w:vertAlign w:val="superscript"/>
          <w:lang w:val="fr-FR"/>
        </w:rPr>
        <w:t>er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530F7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17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ETS </w:t>
      </w:r>
      <w:r w:rsidR="00FD7AD0">
        <w:rPr>
          <w:rFonts w:ascii="Times New Roman" w:hAnsi="Times New Roman" w:cs="Times New Roman"/>
          <w:b/>
          <w:sz w:val="28"/>
          <w:szCs w:val="28"/>
          <w:lang w:val="fr-FR"/>
        </w:rPr>
        <w:t>L’ESPERANCE FAMILY</w:t>
      </w:r>
      <w:r w:rsidR="00783CA9" w:rsidRPr="001F7255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="001F7255" w:rsidRPr="001F72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Tel : </w:t>
      </w:r>
      <w:r w:rsidR="00FD7AD0">
        <w:rPr>
          <w:rFonts w:ascii="Times New Roman" w:hAnsi="Times New Roman" w:cs="Times New Roman"/>
          <w:b/>
          <w:sz w:val="28"/>
          <w:szCs w:val="28"/>
          <w:lang w:val="fr-FR"/>
        </w:rPr>
        <w:t>242 054 675</w:t>
      </w:r>
      <w:r w:rsidR="001212B5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="00783CA9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est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désigné attributaire de </w:t>
      </w:r>
      <w:r w:rsidR="007A7867">
        <w:rPr>
          <w:rFonts w:ascii="Times New Roman" w:hAnsi="Times New Roman" w:cs="Times New Roman"/>
          <w:sz w:val="28"/>
          <w:szCs w:val="28"/>
          <w:lang w:val="fr-FR"/>
        </w:rPr>
        <w:t>l’Avis de Consultation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susvisé </w:t>
      </w:r>
      <w:r w:rsidR="00512740" w:rsidRPr="001F4C45">
        <w:rPr>
          <w:rFonts w:ascii="Times New Roman" w:hAnsi="Times New Roman" w:cs="Times New Roman"/>
          <w:sz w:val="28"/>
          <w:szCs w:val="28"/>
          <w:lang w:val="fr-FR"/>
        </w:rPr>
        <w:t>pour, Montant</w:t>
      </w:r>
      <w:r w:rsidR="00512740">
        <w:rPr>
          <w:rFonts w:ascii="Arial" w:hAnsi="Arial" w:cs="Arial"/>
          <w:b/>
          <w:sz w:val="28"/>
          <w:szCs w:val="28"/>
          <w:lang w:val="fr-FR"/>
        </w:rPr>
        <w:t xml:space="preserve"> TTC</w:t>
      </w:r>
      <w:r w:rsidR="008D57AC" w:rsidRPr="00620AE0">
        <w:rPr>
          <w:rFonts w:ascii="Arial" w:hAnsi="Arial" w:cs="Arial"/>
          <w:b/>
          <w:sz w:val="28"/>
          <w:szCs w:val="28"/>
          <w:lang w:val="fr-FR"/>
        </w:rPr>
        <w:t> :</w:t>
      </w:r>
      <w:r w:rsidR="007029EC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FD7AD0">
        <w:rPr>
          <w:rFonts w:ascii="Arial" w:hAnsi="Arial" w:cs="Arial"/>
          <w:b/>
          <w:sz w:val="28"/>
          <w:szCs w:val="28"/>
          <w:lang w:val="fr-FR"/>
        </w:rPr>
        <w:t>Neuf millions cinq cent mille</w:t>
      </w:r>
      <w:r w:rsidR="00512740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8D57AC" w:rsidRPr="000B6463">
        <w:rPr>
          <w:rFonts w:ascii="Arial" w:hAnsi="Arial" w:cs="Arial"/>
          <w:b/>
          <w:sz w:val="28"/>
          <w:szCs w:val="28"/>
          <w:lang w:val="fr-FR"/>
        </w:rPr>
        <w:t>(</w:t>
      </w:r>
      <w:r w:rsidR="00FD7AD0">
        <w:rPr>
          <w:rFonts w:ascii="Arial" w:hAnsi="Arial" w:cs="Arial"/>
          <w:b/>
          <w:sz w:val="28"/>
          <w:szCs w:val="28"/>
          <w:lang w:val="fr-FR"/>
        </w:rPr>
        <w:t>9 500 000</w:t>
      </w:r>
      <w:r w:rsidR="00512740" w:rsidRPr="000B6463">
        <w:rPr>
          <w:rFonts w:ascii="Arial" w:hAnsi="Arial" w:cs="Arial"/>
          <w:b/>
          <w:sz w:val="28"/>
          <w:szCs w:val="28"/>
          <w:lang w:val="fr-FR"/>
        </w:rPr>
        <w:t>)</w:t>
      </w:r>
      <w:r w:rsidR="008D57AC" w:rsidRPr="00512740">
        <w:rPr>
          <w:rFonts w:ascii="Arial" w:hAnsi="Arial" w:cs="Arial"/>
          <w:sz w:val="28"/>
          <w:szCs w:val="28"/>
          <w:lang w:val="fr-FR"/>
        </w:rPr>
        <w:t xml:space="preserve"> </w:t>
      </w:r>
      <w:r w:rsidR="008D57AC" w:rsidRPr="000F5A07">
        <w:rPr>
          <w:rFonts w:ascii="Arial" w:hAnsi="Arial" w:cs="Arial"/>
          <w:b/>
          <w:sz w:val="28"/>
          <w:szCs w:val="28"/>
          <w:lang w:val="fr-FR"/>
        </w:rPr>
        <w:t>FCFA</w:t>
      </w:r>
      <w:r w:rsidR="008D57AC" w:rsidRPr="00512740">
        <w:rPr>
          <w:rFonts w:ascii="Arial" w:hAnsi="Arial" w:cs="Arial"/>
          <w:sz w:val="28"/>
          <w:szCs w:val="28"/>
          <w:lang w:val="fr-FR"/>
        </w:rPr>
        <w:t>.</w:t>
      </w:r>
      <w:r w:rsidR="00B8593B"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A471E1" w:rsidRPr="00A471E1" w:rsidRDefault="00A471E1" w:rsidP="008D57AC">
      <w:pPr>
        <w:spacing w:after="0"/>
        <w:rPr>
          <w:rFonts w:ascii="Arial" w:hAnsi="Arial" w:cs="Arial"/>
          <w:sz w:val="28"/>
          <w:szCs w:val="28"/>
          <w:lang w:val="fr-FR"/>
        </w:rPr>
      </w:pPr>
    </w:p>
    <w:p w:rsidR="006D4B03" w:rsidRDefault="006D4B03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Le délai d’exécution est de</w:t>
      </w:r>
      <w:r w:rsidR="008D57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C5228">
        <w:rPr>
          <w:rFonts w:ascii="Times New Roman" w:hAnsi="Times New Roman" w:cs="Times New Roman"/>
          <w:b/>
          <w:sz w:val="28"/>
          <w:szCs w:val="28"/>
          <w:lang w:val="fr-FR"/>
        </w:rPr>
        <w:t>deux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D57AC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BC5228">
        <w:rPr>
          <w:rFonts w:ascii="Times New Roman" w:hAnsi="Times New Roman" w:cs="Times New Roman"/>
          <w:b/>
          <w:sz w:val="28"/>
          <w:szCs w:val="28"/>
          <w:lang w:val="fr-FR"/>
        </w:rPr>
        <w:t>02</w:t>
      </w:r>
      <w:r w:rsidR="008D57AC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783CA9" w:rsidRPr="001F72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D57AC">
        <w:rPr>
          <w:rFonts w:ascii="Times New Roman" w:hAnsi="Times New Roman" w:cs="Times New Roman"/>
          <w:b/>
          <w:sz w:val="28"/>
          <w:szCs w:val="28"/>
          <w:lang w:val="fr-FR"/>
        </w:rPr>
        <w:t>mois</w:t>
      </w:r>
      <w:r w:rsidR="00783CA9">
        <w:rPr>
          <w:rFonts w:ascii="Times New Roman" w:hAnsi="Times New Roman" w:cs="Times New Roman"/>
          <w:sz w:val="28"/>
          <w:szCs w:val="28"/>
          <w:lang w:val="fr-FR"/>
        </w:rPr>
        <w:t>.</w:t>
      </w:r>
      <w:bookmarkStart w:id="1" w:name="_GoBack"/>
      <w:bookmarkEnd w:id="1"/>
    </w:p>
    <w:p w:rsidR="00A471E1" w:rsidRPr="001F4C45" w:rsidRDefault="00A471E1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6D4B03" w:rsidRPr="001F4C45" w:rsidRDefault="006D4B03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7255">
        <w:rPr>
          <w:rFonts w:ascii="Times New Roman" w:hAnsi="Times New Roman" w:cs="Times New Roman"/>
          <w:b/>
          <w:sz w:val="28"/>
          <w:szCs w:val="28"/>
          <w:lang w:val="fr-FR"/>
        </w:rPr>
        <w:t>Article 2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B8593B">
        <w:rPr>
          <w:rFonts w:ascii="Times New Roman" w:hAnsi="Times New Roman" w:cs="Times New Roman"/>
          <w:sz w:val="28"/>
          <w:szCs w:val="28"/>
          <w:lang w:val="fr-FR"/>
        </w:rPr>
        <w:t xml:space="preserve"> Le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Direct</w:t>
      </w:r>
      <w:r w:rsidR="00B8593B">
        <w:rPr>
          <w:rFonts w:ascii="Times New Roman" w:hAnsi="Times New Roman" w:cs="Times New Roman"/>
          <w:sz w:val="28"/>
          <w:szCs w:val="28"/>
          <w:lang w:val="fr-FR"/>
        </w:rPr>
        <w:t>eur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Général de l’</w:t>
      </w:r>
      <w:r w:rsidR="00E563E7" w:rsidRPr="001F4C45">
        <w:rPr>
          <w:rFonts w:ascii="Times New Roman" w:hAnsi="Times New Roman" w:cs="Times New Roman"/>
          <w:sz w:val="28"/>
          <w:szCs w:val="28"/>
          <w:lang w:val="fr-FR"/>
        </w:rPr>
        <w:t>Ét</w:t>
      </w:r>
      <w:r w:rsidR="00E563E7">
        <w:rPr>
          <w:rFonts w:ascii="Times New Roman" w:hAnsi="Times New Roman" w:cs="Times New Roman"/>
          <w:sz w:val="28"/>
          <w:szCs w:val="28"/>
          <w:lang w:val="fr-FR"/>
        </w:rPr>
        <w:t>ablissement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susnommé est invité</w:t>
      </w:r>
      <w:r w:rsidR="001F4C45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à se présenter à la Commune d’Arrondissement d’Ebolowa 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0D554A" w:rsidRPr="001F4C4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er</w:t>
      </w:r>
      <w:r w:rsidR="00711EFC" w:rsidRPr="001F4C45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711EFC">
        <w:rPr>
          <w:rFonts w:ascii="Times New Roman" w:hAnsi="Times New Roman" w:cs="Times New Roman"/>
          <w:sz w:val="28"/>
          <w:szCs w:val="28"/>
          <w:lang w:val="fr-FR"/>
        </w:rPr>
        <w:t xml:space="preserve"> Structure Interne de Gestion Administrative des Marchés Publics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11EFC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>SIGAMP</w:t>
      </w:r>
      <w:r w:rsidR="00711EF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0D554A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pour</w:t>
      </w:r>
      <w:r w:rsidR="001F4C45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l’établissement du projet de lettre commande correspondant.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7255">
        <w:rPr>
          <w:rFonts w:ascii="Times New Roman" w:hAnsi="Times New Roman" w:cs="Times New Roman"/>
          <w:b/>
          <w:sz w:val="28"/>
          <w:szCs w:val="28"/>
          <w:lang w:val="fr-FR"/>
        </w:rPr>
        <w:t>Article 3 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: La présente décision sera enregistrée, publiée et </w:t>
      </w:r>
      <w:r w:rsidR="00783CA9" w:rsidRPr="001F4C45">
        <w:rPr>
          <w:rFonts w:ascii="Times New Roman" w:hAnsi="Times New Roman" w:cs="Times New Roman"/>
          <w:sz w:val="28"/>
          <w:szCs w:val="28"/>
          <w:lang w:val="fr-FR"/>
        </w:rPr>
        <w:t>communiquée partout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ou besoin sera./.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Ebolowa, le                                                                                                                           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</w:p>
    <w:p w:rsidR="001F4C45" w:rsidRPr="009B64EC" w:rsidRDefault="001F4C45" w:rsidP="001F4C45">
      <w:pPr>
        <w:tabs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B64EC">
        <w:rPr>
          <w:rFonts w:ascii="Times New Roman" w:hAnsi="Times New Roman" w:cs="Times New Roman"/>
          <w:b/>
          <w:sz w:val="28"/>
          <w:szCs w:val="28"/>
          <w:lang w:val="fr-FR"/>
        </w:rPr>
        <w:t>LE MAIRE</w:t>
      </w:r>
    </w:p>
    <w:p w:rsidR="001F4C45" w:rsidRPr="00512740" w:rsidRDefault="001F4C45" w:rsidP="006D4B03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12740">
        <w:rPr>
          <w:rFonts w:ascii="Times New Roman" w:hAnsi="Times New Roman" w:cs="Times New Roman"/>
          <w:u w:val="single"/>
          <w:lang w:val="fr-FR"/>
        </w:rPr>
        <w:t>Ampliation </w:t>
      </w:r>
      <w:r w:rsidRPr="00512740">
        <w:rPr>
          <w:rFonts w:ascii="Times New Roman" w:hAnsi="Times New Roman" w:cs="Times New Roman"/>
          <w:lang w:val="fr-FR"/>
        </w:rPr>
        <w:t>:</w:t>
      </w:r>
    </w:p>
    <w:p w:rsidR="001F4C45" w:rsidRPr="00512CF2" w:rsidRDefault="001F4C4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20"/>
          <w:lang w:val="fr-FR"/>
        </w:rPr>
      </w:pPr>
      <w:r w:rsidRPr="00512CF2">
        <w:rPr>
          <w:rFonts w:ascii="Times New Roman" w:hAnsi="Times New Roman" w:cs="Times New Roman"/>
          <w:sz w:val="18"/>
          <w:szCs w:val="20"/>
          <w:lang w:val="fr-FR"/>
        </w:rPr>
        <w:t>ARMP/ SUD</w:t>
      </w:r>
    </w:p>
    <w:p w:rsidR="00BC4C83" w:rsidRPr="00512CF2" w:rsidRDefault="001212B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20"/>
          <w:lang w:val="fr-FR"/>
        </w:rPr>
      </w:pPr>
      <w:r w:rsidRPr="00512CF2">
        <w:rPr>
          <w:rFonts w:ascii="Times New Roman" w:hAnsi="Times New Roman" w:cs="Times New Roman"/>
          <w:sz w:val="18"/>
          <w:szCs w:val="20"/>
          <w:lang w:val="fr-FR"/>
        </w:rPr>
        <w:t>DD/</w:t>
      </w:r>
      <w:r w:rsidR="00BC4C83" w:rsidRPr="00512CF2">
        <w:rPr>
          <w:rFonts w:ascii="Times New Roman" w:hAnsi="Times New Roman" w:cs="Times New Roman"/>
          <w:sz w:val="18"/>
          <w:szCs w:val="20"/>
          <w:lang w:val="fr-FR"/>
        </w:rPr>
        <w:t>MINMAP/MVILA</w:t>
      </w:r>
    </w:p>
    <w:p w:rsidR="001F4C45" w:rsidRPr="00512CF2" w:rsidRDefault="001F4C4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20"/>
          <w:lang w:val="fr-FR"/>
        </w:rPr>
      </w:pPr>
      <w:r w:rsidRPr="00512CF2">
        <w:rPr>
          <w:rFonts w:ascii="Times New Roman" w:hAnsi="Times New Roman" w:cs="Times New Roman"/>
          <w:sz w:val="18"/>
          <w:szCs w:val="20"/>
          <w:lang w:val="fr-FR"/>
        </w:rPr>
        <w:t>CIPM</w:t>
      </w:r>
      <w:r w:rsidR="001212B5" w:rsidRPr="00512CF2">
        <w:rPr>
          <w:rFonts w:ascii="Times New Roman" w:hAnsi="Times New Roman" w:cs="Times New Roman"/>
          <w:sz w:val="18"/>
          <w:szCs w:val="20"/>
          <w:lang w:val="fr-FR"/>
        </w:rPr>
        <w:t>P</w:t>
      </w:r>
      <w:r w:rsidRPr="00512CF2">
        <w:rPr>
          <w:rFonts w:ascii="Times New Roman" w:hAnsi="Times New Roman" w:cs="Times New Roman"/>
          <w:sz w:val="18"/>
          <w:szCs w:val="20"/>
          <w:lang w:val="fr-FR"/>
        </w:rPr>
        <w:t xml:space="preserve"> </w:t>
      </w:r>
      <w:r w:rsidR="001F7255" w:rsidRPr="00512CF2">
        <w:rPr>
          <w:rFonts w:ascii="Times New Roman" w:hAnsi="Times New Roman" w:cs="Times New Roman"/>
          <w:sz w:val="18"/>
          <w:szCs w:val="20"/>
          <w:lang w:val="fr-FR"/>
        </w:rPr>
        <w:t>/CA.EBWA1</w:t>
      </w:r>
      <w:r w:rsidRPr="00512CF2">
        <w:rPr>
          <w:rFonts w:ascii="Times New Roman" w:hAnsi="Times New Roman" w:cs="Times New Roman"/>
          <w:sz w:val="18"/>
          <w:szCs w:val="20"/>
          <w:lang w:val="fr-FR"/>
        </w:rPr>
        <w:t xml:space="preserve"> </w:t>
      </w:r>
    </w:p>
    <w:p w:rsidR="001F4C45" w:rsidRPr="00512CF2" w:rsidRDefault="001F4C4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20"/>
          <w:lang w:val="fr-FR"/>
        </w:rPr>
      </w:pPr>
      <w:r w:rsidRPr="00512CF2">
        <w:rPr>
          <w:rFonts w:ascii="Times New Roman" w:hAnsi="Times New Roman" w:cs="Times New Roman"/>
          <w:sz w:val="18"/>
          <w:szCs w:val="20"/>
          <w:lang w:val="fr-FR"/>
        </w:rPr>
        <w:t>Intéressé</w:t>
      </w:r>
    </w:p>
    <w:p w:rsidR="00512740" w:rsidRPr="00512CF2" w:rsidRDefault="00512740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20"/>
          <w:lang w:val="fr-FR"/>
        </w:rPr>
      </w:pPr>
      <w:r w:rsidRPr="00512CF2">
        <w:rPr>
          <w:rFonts w:ascii="Times New Roman" w:hAnsi="Times New Roman" w:cs="Times New Roman"/>
          <w:sz w:val="18"/>
          <w:szCs w:val="20"/>
          <w:lang w:val="fr-FR"/>
        </w:rPr>
        <w:t>Archives/chrono</w:t>
      </w:r>
    </w:p>
    <w:p w:rsidR="00512740" w:rsidRPr="00512740" w:rsidRDefault="00512740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A471E1">
        <w:rPr>
          <w:rFonts w:ascii="Times New Roman" w:hAnsi="Times New Roman" w:cs="Times New Roman"/>
          <w:sz w:val="20"/>
          <w:szCs w:val="20"/>
          <w:lang w:val="fr-FR"/>
        </w:rPr>
        <w:t>Affichage</w:t>
      </w:r>
      <w:r>
        <w:rPr>
          <w:rFonts w:ascii="Times New Roman" w:hAnsi="Times New Roman" w:cs="Times New Roman"/>
          <w:lang w:val="fr-FR"/>
        </w:rPr>
        <w:t xml:space="preserve"> </w:t>
      </w:r>
    </w:p>
    <w:sectPr w:rsidR="00512740" w:rsidRPr="00512740" w:rsidSect="00231A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902" w:rsidRDefault="001D1902" w:rsidP="00583D78">
      <w:pPr>
        <w:spacing w:after="0" w:line="240" w:lineRule="auto"/>
      </w:pPr>
      <w:r>
        <w:separator/>
      </w:r>
    </w:p>
  </w:endnote>
  <w:endnote w:type="continuationSeparator" w:id="0">
    <w:p w:rsidR="001D1902" w:rsidRDefault="001D1902" w:rsidP="0058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9FE" w:rsidRDefault="00583D78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fr-FR"/>
      </w:rPr>
    </w:pPr>
    <w:r w:rsidRPr="00583D78">
      <w:rPr>
        <w:rFonts w:asciiTheme="majorHAnsi" w:eastAsiaTheme="majorEastAsia" w:hAnsiTheme="majorHAnsi" w:cstheme="majorBidi"/>
        <w:lang w:val="fr-FR"/>
      </w:rPr>
      <w:t>IMMEUBL</w:t>
    </w:r>
    <w:r w:rsidR="005B49FE">
      <w:rPr>
        <w:rFonts w:asciiTheme="majorHAnsi" w:eastAsiaTheme="majorEastAsia" w:hAnsiTheme="majorHAnsi" w:cstheme="majorBidi"/>
        <w:lang w:val="fr-FR"/>
      </w:rPr>
      <w:t>E SIEGE: EBOLOWA-SI I (Entre TGI et Commissariat 1</w:t>
    </w:r>
    <w:r w:rsidR="005B49FE" w:rsidRPr="005B49FE">
      <w:rPr>
        <w:rFonts w:asciiTheme="majorHAnsi" w:eastAsiaTheme="majorEastAsia" w:hAnsiTheme="majorHAnsi" w:cstheme="majorBidi"/>
        <w:vertAlign w:val="superscript"/>
        <w:lang w:val="fr-FR"/>
      </w:rPr>
      <w:t>er</w:t>
    </w:r>
    <w:r w:rsidR="005B49FE">
      <w:rPr>
        <w:rFonts w:asciiTheme="majorHAnsi" w:eastAsiaTheme="majorEastAsia" w:hAnsiTheme="majorHAnsi" w:cstheme="majorBidi"/>
        <w:lang w:val="fr-FR"/>
      </w:rPr>
      <w:t xml:space="preserve"> arr.)</w:t>
    </w:r>
  </w:p>
  <w:p w:rsidR="00583D78" w:rsidRPr="00583D78" w:rsidRDefault="005B49FE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  <w:lang w:val="fr-FR"/>
      </w:rPr>
      <w:t xml:space="preserve">                                                       BP</w:t>
    </w:r>
    <w:r w:rsidR="00887B81">
      <w:rPr>
        <w:rFonts w:asciiTheme="majorHAnsi" w:eastAsiaTheme="majorEastAsia" w:hAnsiTheme="majorHAnsi" w:cstheme="majorBidi"/>
        <w:lang w:val="fr-FR"/>
      </w:rPr>
      <w:t xml:space="preserve"> 449</w:t>
    </w:r>
    <w:r>
      <w:rPr>
        <w:rFonts w:asciiTheme="majorHAnsi" w:eastAsiaTheme="majorEastAsia" w:hAnsiTheme="majorHAnsi" w:cstheme="majorBidi"/>
        <w:lang w:val="fr-FR"/>
      </w:rPr>
      <w:t xml:space="preserve">  Ebolowa /   Tel : 677 534 891</w:t>
    </w:r>
    <w:r w:rsidR="00583D78">
      <w:rPr>
        <w:rFonts w:asciiTheme="majorHAnsi" w:eastAsiaTheme="majorEastAsia" w:hAnsiTheme="majorHAnsi" w:cstheme="majorBidi"/>
      </w:rPr>
      <w:ptab w:relativeTo="margin" w:alignment="right" w:leader="none"/>
    </w:r>
    <w:r w:rsidR="00583D78">
      <w:rPr>
        <w:rFonts w:asciiTheme="majorHAnsi" w:eastAsiaTheme="majorEastAsia" w:hAnsiTheme="majorHAnsi" w:cstheme="majorBidi"/>
        <w:lang w:val="fr-FR"/>
      </w:rPr>
      <w:t xml:space="preserve">Page </w:t>
    </w:r>
    <w:r w:rsidR="00231AAD">
      <w:rPr>
        <w:rFonts w:eastAsiaTheme="minorEastAsia"/>
      </w:rPr>
      <w:fldChar w:fldCharType="begin"/>
    </w:r>
    <w:r w:rsidR="00583D78" w:rsidRPr="00583D78">
      <w:rPr>
        <w:lang w:val="fr-FR"/>
      </w:rPr>
      <w:instrText>PAGE   \* MERGEFORMAT</w:instrText>
    </w:r>
    <w:r w:rsidR="00231AAD">
      <w:rPr>
        <w:rFonts w:eastAsiaTheme="minorEastAsia"/>
      </w:rPr>
      <w:fldChar w:fldCharType="separate"/>
    </w:r>
    <w:r w:rsidR="002E244B" w:rsidRPr="002E244B">
      <w:rPr>
        <w:rFonts w:asciiTheme="majorHAnsi" w:eastAsiaTheme="majorEastAsia" w:hAnsiTheme="majorHAnsi" w:cstheme="majorBidi"/>
        <w:noProof/>
        <w:lang w:val="fr-FR"/>
      </w:rPr>
      <w:t>1</w:t>
    </w:r>
    <w:r w:rsidR="00231AAD">
      <w:rPr>
        <w:rFonts w:asciiTheme="majorHAnsi" w:eastAsiaTheme="majorEastAsia" w:hAnsiTheme="majorHAnsi" w:cstheme="majorBidi"/>
      </w:rPr>
      <w:fldChar w:fldCharType="end"/>
    </w:r>
  </w:p>
  <w:p w:rsidR="00583D78" w:rsidRPr="00583D78" w:rsidRDefault="00583D7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902" w:rsidRDefault="001D1902" w:rsidP="00583D78">
      <w:pPr>
        <w:spacing w:after="0" w:line="240" w:lineRule="auto"/>
      </w:pPr>
      <w:r>
        <w:separator/>
      </w:r>
    </w:p>
  </w:footnote>
  <w:footnote w:type="continuationSeparator" w:id="0">
    <w:p w:rsidR="001D1902" w:rsidRDefault="001D1902" w:rsidP="00583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4604"/>
    <w:multiLevelType w:val="hybridMultilevel"/>
    <w:tmpl w:val="7C4CDC96"/>
    <w:lvl w:ilvl="0" w:tplc="7DE426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B09E8"/>
    <w:multiLevelType w:val="hybridMultilevel"/>
    <w:tmpl w:val="97169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A429E"/>
    <w:multiLevelType w:val="hybridMultilevel"/>
    <w:tmpl w:val="3FC4CAEA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41D9"/>
    <w:multiLevelType w:val="hybridMultilevel"/>
    <w:tmpl w:val="3D7294B8"/>
    <w:lvl w:ilvl="0" w:tplc="54467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3074B"/>
    <w:multiLevelType w:val="hybridMultilevel"/>
    <w:tmpl w:val="F17CB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D6B4D"/>
    <w:multiLevelType w:val="hybridMultilevel"/>
    <w:tmpl w:val="4B5A4FCA"/>
    <w:lvl w:ilvl="0" w:tplc="9720487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0D57300"/>
    <w:multiLevelType w:val="hybridMultilevel"/>
    <w:tmpl w:val="E1F653D2"/>
    <w:lvl w:ilvl="0" w:tplc="E91EC8E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FD32EB"/>
    <w:multiLevelType w:val="hybridMultilevel"/>
    <w:tmpl w:val="2CB4508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805DE"/>
    <w:multiLevelType w:val="hybridMultilevel"/>
    <w:tmpl w:val="564E84B0"/>
    <w:lvl w:ilvl="0" w:tplc="9EA6B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17371B3"/>
    <w:multiLevelType w:val="hybridMultilevel"/>
    <w:tmpl w:val="55C4C1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B094C"/>
    <w:multiLevelType w:val="hybridMultilevel"/>
    <w:tmpl w:val="1F7411E0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67CF5"/>
    <w:multiLevelType w:val="hybridMultilevel"/>
    <w:tmpl w:val="2322390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733C1"/>
    <w:multiLevelType w:val="hybridMultilevel"/>
    <w:tmpl w:val="F1804AAC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2"/>
    <w:rsid w:val="00017CC3"/>
    <w:rsid w:val="00054E82"/>
    <w:rsid w:val="00061DF9"/>
    <w:rsid w:val="00080952"/>
    <w:rsid w:val="000B6463"/>
    <w:rsid w:val="000C4637"/>
    <w:rsid w:val="000D554A"/>
    <w:rsid w:val="000F3EC0"/>
    <w:rsid w:val="000F5A07"/>
    <w:rsid w:val="00100696"/>
    <w:rsid w:val="001050BC"/>
    <w:rsid w:val="001212B5"/>
    <w:rsid w:val="001307F8"/>
    <w:rsid w:val="00131072"/>
    <w:rsid w:val="001340B7"/>
    <w:rsid w:val="00142A2A"/>
    <w:rsid w:val="00192D15"/>
    <w:rsid w:val="00197172"/>
    <w:rsid w:val="001D1902"/>
    <w:rsid w:val="001E0F18"/>
    <w:rsid w:val="001F4C45"/>
    <w:rsid w:val="001F7255"/>
    <w:rsid w:val="001F7DA8"/>
    <w:rsid w:val="00201199"/>
    <w:rsid w:val="00223C68"/>
    <w:rsid w:val="00231AAD"/>
    <w:rsid w:val="002348BD"/>
    <w:rsid w:val="0023689E"/>
    <w:rsid w:val="00272A4B"/>
    <w:rsid w:val="00281972"/>
    <w:rsid w:val="00282DBB"/>
    <w:rsid w:val="002C33DA"/>
    <w:rsid w:val="002D2D8F"/>
    <w:rsid w:val="002D6884"/>
    <w:rsid w:val="002E244B"/>
    <w:rsid w:val="00321FB8"/>
    <w:rsid w:val="00350C49"/>
    <w:rsid w:val="00355065"/>
    <w:rsid w:val="00405A10"/>
    <w:rsid w:val="00415600"/>
    <w:rsid w:val="0046258F"/>
    <w:rsid w:val="004836A7"/>
    <w:rsid w:val="004A4EF0"/>
    <w:rsid w:val="004E324E"/>
    <w:rsid w:val="004F77D2"/>
    <w:rsid w:val="0050705E"/>
    <w:rsid w:val="00512740"/>
    <w:rsid w:val="00512CF2"/>
    <w:rsid w:val="00530F7E"/>
    <w:rsid w:val="0053284D"/>
    <w:rsid w:val="005338E3"/>
    <w:rsid w:val="00546826"/>
    <w:rsid w:val="00577BBF"/>
    <w:rsid w:val="00583D78"/>
    <w:rsid w:val="005B4910"/>
    <w:rsid w:val="005B49FE"/>
    <w:rsid w:val="005C51F7"/>
    <w:rsid w:val="00605ABC"/>
    <w:rsid w:val="006129F4"/>
    <w:rsid w:val="00622C7D"/>
    <w:rsid w:val="00627DF5"/>
    <w:rsid w:val="00632D68"/>
    <w:rsid w:val="00633E0F"/>
    <w:rsid w:val="00644ABE"/>
    <w:rsid w:val="00660B80"/>
    <w:rsid w:val="00672EC2"/>
    <w:rsid w:val="00680E5E"/>
    <w:rsid w:val="006A0357"/>
    <w:rsid w:val="006C54BC"/>
    <w:rsid w:val="006D4B03"/>
    <w:rsid w:val="007029EC"/>
    <w:rsid w:val="00711EFC"/>
    <w:rsid w:val="00726B78"/>
    <w:rsid w:val="00741515"/>
    <w:rsid w:val="007567A6"/>
    <w:rsid w:val="00783CA9"/>
    <w:rsid w:val="00797A6F"/>
    <w:rsid w:val="007A1369"/>
    <w:rsid w:val="007A7867"/>
    <w:rsid w:val="007B52F8"/>
    <w:rsid w:val="007C2859"/>
    <w:rsid w:val="007D46D3"/>
    <w:rsid w:val="007D6131"/>
    <w:rsid w:val="007E07B4"/>
    <w:rsid w:val="007E4BFE"/>
    <w:rsid w:val="007F401B"/>
    <w:rsid w:val="00823EA7"/>
    <w:rsid w:val="008278A6"/>
    <w:rsid w:val="00830D92"/>
    <w:rsid w:val="00844ABA"/>
    <w:rsid w:val="00850BA9"/>
    <w:rsid w:val="0085336E"/>
    <w:rsid w:val="00860C82"/>
    <w:rsid w:val="00887B81"/>
    <w:rsid w:val="00895188"/>
    <w:rsid w:val="008C6DFA"/>
    <w:rsid w:val="008D0B88"/>
    <w:rsid w:val="008D57AC"/>
    <w:rsid w:val="008D7C87"/>
    <w:rsid w:val="008F1B90"/>
    <w:rsid w:val="008F7B19"/>
    <w:rsid w:val="009042D6"/>
    <w:rsid w:val="009413B9"/>
    <w:rsid w:val="00944821"/>
    <w:rsid w:val="00950C53"/>
    <w:rsid w:val="00955199"/>
    <w:rsid w:val="00960996"/>
    <w:rsid w:val="00966C8F"/>
    <w:rsid w:val="009670D4"/>
    <w:rsid w:val="00986370"/>
    <w:rsid w:val="009B64EC"/>
    <w:rsid w:val="009B7C1F"/>
    <w:rsid w:val="009D14BB"/>
    <w:rsid w:val="009E107F"/>
    <w:rsid w:val="009E3A82"/>
    <w:rsid w:val="009F0DDA"/>
    <w:rsid w:val="009F488B"/>
    <w:rsid w:val="009F5E24"/>
    <w:rsid w:val="00A01B10"/>
    <w:rsid w:val="00A16195"/>
    <w:rsid w:val="00A471E1"/>
    <w:rsid w:val="00A57E86"/>
    <w:rsid w:val="00A62C04"/>
    <w:rsid w:val="00A6468D"/>
    <w:rsid w:val="00A75E68"/>
    <w:rsid w:val="00A842C5"/>
    <w:rsid w:val="00A92EBA"/>
    <w:rsid w:val="00B023E2"/>
    <w:rsid w:val="00B0368D"/>
    <w:rsid w:val="00B16149"/>
    <w:rsid w:val="00B40537"/>
    <w:rsid w:val="00B45859"/>
    <w:rsid w:val="00B74E88"/>
    <w:rsid w:val="00B8593B"/>
    <w:rsid w:val="00BA6604"/>
    <w:rsid w:val="00BB1DBF"/>
    <w:rsid w:val="00BC4C83"/>
    <w:rsid w:val="00BC5228"/>
    <w:rsid w:val="00BD2019"/>
    <w:rsid w:val="00BF78DE"/>
    <w:rsid w:val="00C048EC"/>
    <w:rsid w:val="00C058B1"/>
    <w:rsid w:val="00C17AA1"/>
    <w:rsid w:val="00C36DEF"/>
    <w:rsid w:val="00C40FD9"/>
    <w:rsid w:val="00C51703"/>
    <w:rsid w:val="00C53CE3"/>
    <w:rsid w:val="00C56801"/>
    <w:rsid w:val="00C75F04"/>
    <w:rsid w:val="00C95E04"/>
    <w:rsid w:val="00CA2D9E"/>
    <w:rsid w:val="00CA3D99"/>
    <w:rsid w:val="00CA52BA"/>
    <w:rsid w:val="00CB34D4"/>
    <w:rsid w:val="00CB3CB1"/>
    <w:rsid w:val="00CB48CF"/>
    <w:rsid w:val="00CD0237"/>
    <w:rsid w:val="00CE29BA"/>
    <w:rsid w:val="00CF4BF4"/>
    <w:rsid w:val="00D2093D"/>
    <w:rsid w:val="00D3049E"/>
    <w:rsid w:val="00D43174"/>
    <w:rsid w:val="00D96634"/>
    <w:rsid w:val="00D9721C"/>
    <w:rsid w:val="00DA7B53"/>
    <w:rsid w:val="00DB0565"/>
    <w:rsid w:val="00DC0C53"/>
    <w:rsid w:val="00DC4231"/>
    <w:rsid w:val="00DC6F21"/>
    <w:rsid w:val="00DF4D41"/>
    <w:rsid w:val="00E15AAF"/>
    <w:rsid w:val="00E2664E"/>
    <w:rsid w:val="00E320B7"/>
    <w:rsid w:val="00E563E7"/>
    <w:rsid w:val="00E57200"/>
    <w:rsid w:val="00E57E94"/>
    <w:rsid w:val="00EA363A"/>
    <w:rsid w:val="00ED15C1"/>
    <w:rsid w:val="00EF3386"/>
    <w:rsid w:val="00F02536"/>
    <w:rsid w:val="00F11044"/>
    <w:rsid w:val="00F266CB"/>
    <w:rsid w:val="00F44CD5"/>
    <w:rsid w:val="00F46E96"/>
    <w:rsid w:val="00F80F33"/>
    <w:rsid w:val="00F866FD"/>
    <w:rsid w:val="00F86995"/>
    <w:rsid w:val="00F92526"/>
    <w:rsid w:val="00FB2D0F"/>
    <w:rsid w:val="00FC2C3E"/>
    <w:rsid w:val="00FD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1FA125-F665-4248-B192-73728432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E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3E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TITRE 2,Liste 1,Desmond 2,List_Paragraph,Multilevel para_II,List Paragraph1,List Paragraph (numbered (a)),Akapit z listą BS,Bullets,References,ReferencesCxSpLast,Medium Grid 1 - Accent 21,Numbered List Paragraph,Bullet Answer,본문(내용)"/>
    <w:basedOn w:val="Normal"/>
    <w:link w:val="ParagraphedelisteCar"/>
    <w:uiPriority w:val="1"/>
    <w:qFormat/>
    <w:rsid w:val="00CF4B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D7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D78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D78"/>
    <w:rPr>
      <w:rFonts w:ascii="Tahoma" w:hAnsi="Tahoma" w:cs="Tahoma"/>
      <w:sz w:val="16"/>
      <w:szCs w:val="16"/>
      <w:lang w:val="en-US"/>
    </w:rPr>
  </w:style>
  <w:style w:type="character" w:customStyle="1" w:styleId="ParagraphedelisteCar">
    <w:name w:val="Paragraphe de liste Car"/>
    <w:aliases w:val="TITRE 2 Car,Liste 1 Car,Desmond 2 Car,List_Paragraph Car,Multilevel para_II Car,List Paragraph1 Car,List Paragraph (numbered (a)) Car,Akapit z listą BS Car,Bullets Car,References Car,ReferencesCxSpLast Car,Bullet Answer Car"/>
    <w:basedOn w:val="Policepardfaut"/>
    <w:link w:val="Paragraphedeliste"/>
    <w:uiPriority w:val="1"/>
    <w:rsid w:val="007A786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MESSANGA</cp:lastModifiedBy>
  <cp:revision>2</cp:revision>
  <cp:lastPrinted>2025-09-04T07:59:00Z</cp:lastPrinted>
  <dcterms:created xsi:type="dcterms:W3CDTF">2025-09-04T08:24:00Z</dcterms:created>
  <dcterms:modified xsi:type="dcterms:W3CDTF">2025-09-04T08:24:00Z</dcterms:modified>
</cp:coreProperties>
</file>